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3"/>
      </w:tblGrid>
      <w:tr w:rsidR="008945AD" w:rsidTr="00465D8E">
        <w:trPr>
          <w:trHeight w:val="648"/>
          <w:jc w:val="center"/>
        </w:trPr>
        <w:tc>
          <w:tcPr>
            <w:tcW w:w="5973" w:type="dxa"/>
            <w:tcBorders>
              <w:top w:val="nil"/>
              <w:left w:val="nil"/>
              <w:bottom w:val="nil"/>
              <w:right w:val="nil"/>
            </w:tcBorders>
            <w:shd w:val="clear" w:color="auto" w:fill="0070C0"/>
            <w:vAlign w:val="center"/>
          </w:tcPr>
          <w:p w:rsidR="008945AD" w:rsidRPr="002D44B0" w:rsidRDefault="002D44B0" w:rsidP="00465D8E">
            <w:pPr>
              <w:pStyle w:val="10"/>
            </w:pPr>
            <w:r>
              <w:t xml:space="preserve">Μια πλαστική κρούση εν μέσω </w:t>
            </w:r>
            <w:proofErr w:type="spellStart"/>
            <w:r>
              <w:t>αατ</w:t>
            </w:r>
            <w:proofErr w:type="spellEnd"/>
            <w:r>
              <w:t>.</w:t>
            </w:r>
          </w:p>
        </w:tc>
      </w:tr>
    </w:tbl>
    <w:p w:rsidR="002D44B0" w:rsidRDefault="003C52F2" w:rsidP="002D44B0">
      <w:pPr>
        <w:spacing w:before="240"/>
      </w:pPr>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9.7pt;margin-top:15pt;width:183pt;height:120.65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8" DrawAspect="Content" ObjectID="_1683923758" r:id="rId9"/>
        </w:object>
      </w:r>
      <w:r w:rsidR="002D44B0">
        <w:t>Ένα σώμα Σ, μάζας Μ, είναι δεμένο στο άκρο ιδανικού ελατηρίου σταθεράς k και μπορεί να εκτελεί ΑΑΤ σε λείο οριζόντιο επίπεδο. Εκτρέπουμε το σώμα Σ από τη θέση ισορροπίας του και σε μια στιγμή t=0 το αφήνουμε να ταλαντωθεί, ενώ ταυτόχρονα από ύψος h αφήνουμε μια σφαίρα μάζας m</w:t>
      </w:r>
      <w:r w:rsidR="007F0348">
        <w:t>=7Μ/9,</w:t>
      </w:r>
      <w:r w:rsidR="002D44B0">
        <w:t xml:space="preserve"> να πέσει. Ακολουθεί πλαστική κρούση του σώματος Σ με την σφαίρα,</w:t>
      </w:r>
      <w:r w:rsidR="0047297F">
        <w:t xml:space="preserve"> τη στιγμή που το σώμα Σ περνά από την </w:t>
      </w:r>
      <w:r w:rsidR="002D44B0">
        <w:t>θέση ισορροπίας του</w:t>
      </w:r>
      <w:r w:rsidR="0047297F">
        <w:t xml:space="preserve"> για πρώτη φορά</w:t>
      </w:r>
      <w:r w:rsidR="002D44B0">
        <w:t>, χωρίς το συσσωμάτωμα να αναπηδά.</w:t>
      </w:r>
    </w:p>
    <w:p w:rsidR="002D44B0" w:rsidRDefault="002D44B0" w:rsidP="002D44B0">
      <w:pPr>
        <w:tabs>
          <w:tab w:val="clear" w:pos="340"/>
        </w:tabs>
        <w:ind w:left="453" w:hanging="340"/>
      </w:pPr>
      <w:r>
        <w:t>i)  Αν Α</w:t>
      </w:r>
      <w:r w:rsidR="00F62A34">
        <w:rPr>
          <w:vertAlign w:val="subscript"/>
        </w:rPr>
        <w:t>1</w:t>
      </w:r>
      <w:r>
        <w:t xml:space="preserve"> το πλάτος της ταλάντωσης πριν την κρούση και Α</w:t>
      </w:r>
      <w:r w:rsidR="00F62A34">
        <w:rPr>
          <w:vertAlign w:val="subscript"/>
        </w:rPr>
        <w:t>2</w:t>
      </w:r>
      <w:r>
        <w:t xml:space="preserve"> το πλάτος ταλάντωσης του συσσωματώματος, μετά την κρούση, ισχύει:</w:t>
      </w:r>
    </w:p>
    <w:p w:rsidR="002D44B0" w:rsidRPr="007F0348" w:rsidRDefault="002D44B0" w:rsidP="002D44B0">
      <w:pPr>
        <w:ind w:left="833" w:hanging="720"/>
        <w:jc w:val="center"/>
      </w:pPr>
      <w:r>
        <w:t>α)</w:t>
      </w:r>
      <w:r w:rsidR="007F0348">
        <w:t xml:space="preserve"> Α</w:t>
      </w:r>
      <w:r w:rsidR="007F0348">
        <w:rPr>
          <w:vertAlign w:val="subscript"/>
        </w:rPr>
        <w:t>2</w:t>
      </w:r>
      <w:r w:rsidR="007F0348">
        <w:t>=0,</w:t>
      </w:r>
      <w:r w:rsidR="000404DA">
        <w:t>2</w:t>
      </w:r>
      <w:r w:rsidR="007F0348">
        <w:t>5 Α</w:t>
      </w:r>
      <w:r w:rsidR="007F0348">
        <w:rPr>
          <w:vertAlign w:val="subscript"/>
        </w:rPr>
        <w:t>1</w:t>
      </w:r>
      <w:r>
        <w:t>,      β)</w:t>
      </w:r>
      <w:r w:rsidR="007F0348">
        <w:t xml:space="preserve"> Α</w:t>
      </w:r>
      <w:r w:rsidR="007F0348">
        <w:rPr>
          <w:vertAlign w:val="subscript"/>
        </w:rPr>
        <w:t>2</w:t>
      </w:r>
      <w:r w:rsidR="007F0348">
        <w:t>=0,5 Α</w:t>
      </w:r>
      <w:r w:rsidR="007F0348">
        <w:rPr>
          <w:vertAlign w:val="subscript"/>
        </w:rPr>
        <w:t>1</w:t>
      </w:r>
      <w:r w:rsidR="007F0348">
        <w:t>,</w:t>
      </w:r>
      <w:r>
        <w:t xml:space="preserve">       γ)</w:t>
      </w:r>
      <w:r w:rsidR="007F0348" w:rsidRPr="007F0348">
        <w:t xml:space="preserve"> </w:t>
      </w:r>
      <w:r w:rsidR="007F0348">
        <w:t>Α</w:t>
      </w:r>
      <w:r w:rsidR="007F0348">
        <w:rPr>
          <w:vertAlign w:val="subscript"/>
        </w:rPr>
        <w:t>2</w:t>
      </w:r>
      <w:r w:rsidR="007F0348">
        <w:t>=</w:t>
      </w:r>
      <w:r w:rsidR="000404DA">
        <w:t xml:space="preserve">0,75 </w:t>
      </w:r>
      <w:r w:rsidR="007F0348">
        <w:t>Α</w:t>
      </w:r>
      <w:r w:rsidR="007F0348">
        <w:rPr>
          <w:vertAlign w:val="subscript"/>
        </w:rPr>
        <w:t>1</w:t>
      </w:r>
      <w:r w:rsidR="007F0348">
        <w:t>.</w:t>
      </w:r>
    </w:p>
    <w:p w:rsidR="002D44B0" w:rsidRDefault="002D44B0" w:rsidP="002D44B0">
      <w:pPr>
        <w:ind w:left="833" w:hanging="720"/>
      </w:pPr>
      <w:r>
        <w:rPr>
          <w:lang w:val="en-US"/>
        </w:rPr>
        <w:t>ii</w:t>
      </w:r>
      <w:r>
        <w:t>) Η σφαίρα αφέθηκε να πέσει από ύψος h ίσο με:</w:t>
      </w:r>
    </w:p>
    <w:p w:rsidR="002D44B0" w:rsidRPr="00FD26A3" w:rsidRDefault="002D44B0" w:rsidP="002D44B0">
      <w:pPr>
        <w:jc w:val="center"/>
      </w:pPr>
      <w:r>
        <w:t xml:space="preserve">α) </w:t>
      </w:r>
      <w:r w:rsidRPr="002D44B0">
        <w:rPr>
          <w:position w:val="-24"/>
        </w:rPr>
        <w:object w:dxaOrig="900" w:dyaOrig="620">
          <v:shape id="_x0000_i1026" type="#_x0000_t75" style="width:45.2pt;height:30.8pt" o:ole="">
            <v:imagedata r:id="rId10" o:title=""/>
          </v:shape>
          <o:OLEObject Type="Embed" ProgID="Equation.DSMT4" ShapeID="_x0000_i1026" DrawAspect="Content" ObjectID="_1683923750" r:id="rId11"/>
        </w:object>
      </w:r>
      <w:r w:rsidRPr="00FD26A3">
        <w:t xml:space="preserve">,      </w:t>
      </w:r>
      <w:r>
        <w:t xml:space="preserve">β) </w:t>
      </w:r>
      <w:r w:rsidRPr="002D44B0">
        <w:rPr>
          <w:position w:val="-24"/>
        </w:rPr>
        <w:object w:dxaOrig="1340" w:dyaOrig="620">
          <v:shape id="_x0000_i1027" type="#_x0000_t75" style="width:67pt;height:30.8pt" o:ole="">
            <v:imagedata r:id="rId12" o:title=""/>
          </v:shape>
          <o:OLEObject Type="Embed" ProgID="Equation.DSMT4" ShapeID="_x0000_i1027" DrawAspect="Content" ObjectID="_1683923751" r:id="rId13"/>
        </w:object>
      </w:r>
      <w:r>
        <w:t xml:space="preserve">,  </w:t>
      </w:r>
      <w:r w:rsidRPr="00FD26A3">
        <w:t xml:space="preserve">    </w:t>
      </w:r>
      <w:r>
        <w:t xml:space="preserve">γ) </w:t>
      </w:r>
      <w:r w:rsidRPr="002D44B0">
        <w:rPr>
          <w:position w:val="-24"/>
        </w:rPr>
        <w:object w:dxaOrig="1219" w:dyaOrig="620">
          <v:shape id="_x0000_i1028" type="#_x0000_t75" style="width:60.95pt;height:30.8pt" o:ole="">
            <v:imagedata r:id="rId14" o:title=""/>
          </v:shape>
          <o:OLEObject Type="Embed" ProgID="Equation.DSMT4" ShapeID="_x0000_i1028" DrawAspect="Content" ObjectID="_1683923752" r:id="rId15"/>
        </w:object>
      </w:r>
      <w:r>
        <w:t xml:space="preserve">, </w:t>
      </w:r>
      <w:r w:rsidRPr="00FD26A3">
        <w:t xml:space="preserve">     </w:t>
      </w:r>
      <w:r>
        <w:t xml:space="preserve"> δ) </w:t>
      </w:r>
      <w:r w:rsidRPr="002D44B0">
        <w:rPr>
          <w:position w:val="-24"/>
        </w:rPr>
        <w:object w:dxaOrig="940" w:dyaOrig="620">
          <v:shape id="_x0000_i1029" type="#_x0000_t75" style="width:47.2pt;height:30.8pt" o:ole="">
            <v:imagedata r:id="rId16" o:title=""/>
          </v:shape>
          <o:OLEObject Type="Embed" ProgID="Equation.DSMT4" ShapeID="_x0000_i1029" DrawAspect="Content" ObjectID="_1683923753" r:id="rId17"/>
        </w:object>
      </w:r>
      <w:r w:rsidRPr="00FD26A3">
        <w:t>.</w:t>
      </w:r>
    </w:p>
    <w:p w:rsidR="002D44B0" w:rsidRDefault="002D44B0" w:rsidP="002D44B0">
      <w:pPr>
        <w:ind w:left="340"/>
      </w:pPr>
      <w:r>
        <w:t>Δίνεται π</w:t>
      </w:r>
      <w:r>
        <w:rPr>
          <w:vertAlign w:val="superscript"/>
        </w:rPr>
        <w:t>2</w:t>
      </w:r>
      <w:r>
        <w:t>≈10</w:t>
      </w:r>
      <w:r w:rsidR="00525366">
        <w:t>, ενώ τη στιγμή της κρούσης το σώμα Σ περνά για πρώτη φορά από τη θέση ισορροπίας.</w:t>
      </w:r>
    </w:p>
    <w:p w:rsidR="002D44B0" w:rsidRPr="00525366" w:rsidRDefault="002D44B0" w:rsidP="00525366">
      <w:pPr>
        <w:rPr>
          <w:b/>
          <w:i/>
          <w:color w:val="0070C0"/>
          <w:sz w:val="24"/>
          <w:szCs w:val="24"/>
        </w:rPr>
      </w:pPr>
      <w:r w:rsidRPr="00525366">
        <w:rPr>
          <w:b/>
          <w:i/>
          <w:color w:val="0070C0"/>
          <w:sz w:val="24"/>
          <w:szCs w:val="24"/>
        </w:rPr>
        <w:t>Απάντηση:</w:t>
      </w:r>
    </w:p>
    <w:p w:rsidR="002D44B0" w:rsidRDefault="002A03D8" w:rsidP="002D44B0">
      <w:pPr>
        <w:ind w:left="340"/>
      </w:pPr>
      <w:r>
        <w:t>Η θέση ισορροπίας της αρχικής ταλάντωσης, είναι η θέση φυσικού μήκους του ελατηρίου</w:t>
      </w:r>
      <w:r w:rsidR="00F80FD8">
        <w:t>, οπότε θα είναι και θέση ισορροπίας της ταλάντωσης μετά την κρούση.</w:t>
      </w:r>
    </w:p>
    <w:p w:rsidR="00F80FD8" w:rsidRDefault="00F80FD8" w:rsidP="00F80FD8">
      <w:pPr>
        <w:pStyle w:val="1"/>
      </w:pPr>
      <w:r>
        <w:t>Στην κατακόρυφη διεύθυνση η ορμή δεν διατηρείται, αφού η σφαίρα πέφτει με κάποια ορμή, ενώ μετά την κρούση το συσσωμάτωμα κινείται οριζόντια. Οι εξωτερικές όμως δυνάμεις (βάρη και κάθετη αντίδραση του επιπέδου) είναι κατακόρυφες, συνεπώς μπορούμε να εφαρμόσουμε την διατήρηση της ορμής, στην οριζόντια διεύθυνση:</w:t>
      </w:r>
    </w:p>
    <w:p w:rsidR="00F80FD8" w:rsidRPr="00F62A34" w:rsidRDefault="00F80FD8" w:rsidP="00F62A34">
      <w:pPr>
        <w:jc w:val="center"/>
        <w:rPr>
          <w:i/>
          <w:sz w:val="24"/>
          <w:szCs w:val="24"/>
        </w:rPr>
      </w:pPr>
      <w:proofErr w:type="spellStart"/>
      <w:r w:rsidRPr="00F62A34">
        <w:rPr>
          <w:i/>
          <w:sz w:val="24"/>
          <w:szCs w:val="24"/>
        </w:rPr>
        <w:t>p</w:t>
      </w:r>
      <w:r w:rsidRPr="00F62A34">
        <w:rPr>
          <w:i/>
          <w:sz w:val="24"/>
          <w:szCs w:val="24"/>
          <w:vertAlign w:val="subscript"/>
        </w:rPr>
        <w:t>x,πριν</w:t>
      </w:r>
      <w:proofErr w:type="spellEnd"/>
      <w:r w:rsidRPr="00F62A34">
        <w:rPr>
          <w:i/>
          <w:sz w:val="24"/>
          <w:szCs w:val="24"/>
        </w:rPr>
        <w:t>=</w:t>
      </w:r>
      <w:proofErr w:type="spellStart"/>
      <w:r w:rsidRPr="00F62A34">
        <w:rPr>
          <w:i/>
          <w:sz w:val="24"/>
          <w:szCs w:val="24"/>
        </w:rPr>
        <w:t>p</w:t>
      </w:r>
      <w:r w:rsidRPr="00F62A34">
        <w:rPr>
          <w:i/>
          <w:sz w:val="24"/>
          <w:szCs w:val="24"/>
          <w:vertAlign w:val="subscript"/>
        </w:rPr>
        <w:t>x,μετά</w:t>
      </w:r>
      <w:proofErr w:type="spellEnd"/>
      <w:r w:rsidRPr="00F62A34">
        <w:rPr>
          <w:i/>
          <w:sz w:val="24"/>
          <w:szCs w:val="24"/>
        </w:rPr>
        <w:t xml:space="preserve"> → Μ</w:t>
      </w:r>
      <w:r w:rsidR="00F62A34" w:rsidRPr="00F62A34">
        <w:rPr>
          <w:i/>
          <w:sz w:val="24"/>
          <w:szCs w:val="24"/>
        </w:rPr>
        <w:t>υ</w:t>
      </w:r>
      <w:r w:rsidR="00F62A34">
        <w:rPr>
          <w:i/>
          <w:sz w:val="24"/>
          <w:szCs w:val="24"/>
          <w:vertAlign w:val="subscript"/>
        </w:rPr>
        <w:t>1</w:t>
      </w:r>
      <w:r w:rsidR="00F62A34" w:rsidRPr="00F62A34">
        <w:rPr>
          <w:i/>
          <w:sz w:val="24"/>
          <w:szCs w:val="24"/>
        </w:rPr>
        <w:t xml:space="preserve"> = (</w:t>
      </w:r>
      <w:proofErr w:type="spellStart"/>
      <w:r w:rsidR="00F62A34" w:rsidRPr="00F62A34">
        <w:rPr>
          <w:i/>
          <w:sz w:val="24"/>
          <w:szCs w:val="24"/>
        </w:rPr>
        <w:t>Μ+m</w:t>
      </w:r>
      <w:proofErr w:type="spellEnd"/>
      <w:r w:rsidR="00F62A34" w:rsidRPr="00F62A34">
        <w:rPr>
          <w:i/>
          <w:sz w:val="24"/>
          <w:szCs w:val="24"/>
        </w:rPr>
        <w:t>)V</w:t>
      </w:r>
      <w:r w:rsidR="003642C5">
        <w:rPr>
          <w:i/>
          <w:sz w:val="24"/>
          <w:szCs w:val="24"/>
        </w:rPr>
        <w:t xml:space="preserve">  (1)</w:t>
      </w:r>
    </w:p>
    <w:p w:rsidR="00F62A34" w:rsidRDefault="00F62A34" w:rsidP="003642C5">
      <w:pPr>
        <w:ind w:left="340"/>
      </w:pPr>
      <w:r>
        <w:t>Αλλά υ</w:t>
      </w:r>
      <w:r>
        <w:rPr>
          <w:vertAlign w:val="subscript"/>
        </w:rPr>
        <w:t>1</w:t>
      </w:r>
      <w:r>
        <w:t xml:space="preserve"> η ταχύτητα του Σ στη θέση ισορροπίας, οπότε υ</w:t>
      </w:r>
      <w:r>
        <w:rPr>
          <w:vertAlign w:val="subscript"/>
        </w:rPr>
        <w:t>1</w:t>
      </w:r>
      <w:r>
        <w:t>=ω</w:t>
      </w:r>
      <w:r>
        <w:rPr>
          <w:vertAlign w:val="subscript"/>
        </w:rPr>
        <w:t>1</w:t>
      </w:r>
      <w:r>
        <w:t>∙Α, ενώ V=ω</w:t>
      </w:r>
      <w:r>
        <w:rPr>
          <w:vertAlign w:val="subscript"/>
        </w:rPr>
        <w:t>2</w:t>
      </w:r>
      <w:r>
        <w:t>Α</w:t>
      </w:r>
      <w:r>
        <w:rPr>
          <w:vertAlign w:val="subscript"/>
        </w:rPr>
        <w:t>2</w:t>
      </w:r>
      <w:r>
        <w:t xml:space="preserve"> η μέγιστη ταχύτητα ταλάντωσης </w:t>
      </w:r>
      <w:r w:rsidR="003642C5">
        <w:t>μετά την κρούση, οπότε η (1) γίνεται:</w:t>
      </w:r>
    </w:p>
    <w:p w:rsidR="00C320F8" w:rsidRDefault="003642C5" w:rsidP="003642C5">
      <w:pPr>
        <w:ind w:left="340"/>
        <w:jc w:val="center"/>
      </w:pPr>
      <w:r w:rsidRPr="003642C5">
        <w:rPr>
          <w:position w:val="-26"/>
        </w:rPr>
        <w:object w:dxaOrig="6080" w:dyaOrig="700">
          <v:shape id="_x0000_i1030" type="#_x0000_t75" style="width:304.05pt;height:35.15pt" o:ole="">
            <v:imagedata r:id="rId18" o:title=""/>
          </v:shape>
          <o:OLEObject Type="Embed" ProgID="Equation.DSMT4" ShapeID="_x0000_i1030" DrawAspect="Content" ObjectID="_1683923754" r:id="rId19"/>
        </w:object>
      </w:r>
    </w:p>
    <w:p w:rsidR="003642C5" w:rsidRDefault="007F0348" w:rsidP="003642C5">
      <w:pPr>
        <w:ind w:left="340"/>
        <w:jc w:val="center"/>
      </w:pPr>
      <w:r w:rsidRPr="007F0348">
        <w:rPr>
          <w:position w:val="-62"/>
        </w:rPr>
        <w:object w:dxaOrig="3620" w:dyaOrig="1359">
          <v:shape id="_x0000_i1031" type="#_x0000_t75" style="width:180.85pt;height:68pt" o:ole="">
            <v:imagedata r:id="rId20" o:title=""/>
          </v:shape>
          <o:OLEObject Type="Embed" ProgID="Equation.DSMT4" ShapeID="_x0000_i1031" DrawAspect="Content" ObjectID="_1683923755" r:id="rId21"/>
        </w:object>
      </w:r>
    </w:p>
    <w:p w:rsidR="00EE391A" w:rsidRDefault="00EE391A" w:rsidP="00EE391A">
      <w:pPr>
        <w:ind w:left="340"/>
      </w:pPr>
      <w:r>
        <w:t xml:space="preserve">Σωστό το </w:t>
      </w:r>
      <w:r w:rsidR="000404DA">
        <w:t>γ</w:t>
      </w:r>
      <w:r>
        <w:t xml:space="preserve">). </w:t>
      </w:r>
    </w:p>
    <w:p w:rsidR="007871E3" w:rsidRDefault="007871E3" w:rsidP="007871E3">
      <w:pPr>
        <w:pStyle w:val="1"/>
      </w:pPr>
      <w:r>
        <w:lastRenderedPageBreak/>
        <w:t>Η κρούση των δύο σωμάτων στη θέση ισορροπίας της αρχικής ταλάντωσης</w:t>
      </w:r>
      <w:r w:rsidR="009D2E0B">
        <w:t>, έγινε τη χρονική στιγμή t</w:t>
      </w:r>
      <w:r w:rsidR="009D2E0B">
        <w:rPr>
          <w:vertAlign w:val="subscript"/>
        </w:rPr>
        <w:t>1</w:t>
      </w:r>
      <w:r w:rsidR="009D2E0B">
        <w:t>=Τ</w:t>
      </w:r>
      <w:r w:rsidR="009D2E0B">
        <w:rPr>
          <w:vertAlign w:val="subscript"/>
        </w:rPr>
        <w:t>1</w:t>
      </w:r>
      <w:r w:rsidR="009D2E0B">
        <w:t xml:space="preserve">/4, </w:t>
      </w:r>
      <w:r w:rsidR="002D1534">
        <w:t xml:space="preserve"> (ο χρόνος από την ακραία θέση μέχρι τη θέση ισορροπίας) </w:t>
      </w:r>
      <w:bookmarkStart w:id="0" w:name="_GoBack"/>
      <w:bookmarkEnd w:id="0"/>
      <w:r w:rsidR="009D2E0B">
        <w:t>όπου Τ</w:t>
      </w:r>
      <w:r w:rsidR="009D2E0B">
        <w:rPr>
          <w:vertAlign w:val="subscript"/>
        </w:rPr>
        <w:t>1</w:t>
      </w:r>
      <w:r w:rsidR="009D2E0B">
        <w:t xml:space="preserve"> η αρχική περίοδος ταλάντωσης</w:t>
      </w:r>
      <w:r w:rsidR="00FD26A3">
        <w:t>:</w:t>
      </w:r>
    </w:p>
    <w:p w:rsidR="00FD26A3" w:rsidRDefault="00FD26A3" w:rsidP="00FD26A3">
      <w:pPr>
        <w:jc w:val="center"/>
        <w:rPr>
          <w:lang w:val="en-US"/>
        </w:rPr>
      </w:pPr>
      <w:r w:rsidRPr="00FD26A3">
        <w:rPr>
          <w:position w:val="-26"/>
        </w:rPr>
        <w:object w:dxaOrig="1320" w:dyaOrig="700">
          <v:shape id="_x0000_i1032" type="#_x0000_t75" style="width:65.95pt;height:35.15pt" o:ole="">
            <v:imagedata r:id="rId22" o:title=""/>
          </v:shape>
          <o:OLEObject Type="Embed" ProgID="Equation.DSMT4" ShapeID="_x0000_i1032" DrawAspect="Content" ObjectID="_1683923756" r:id="rId23"/>
        </w:object>
      </w:r>
    </w:p>
    <w:p w:rsidR="00FD26A3" w:rsidRDefault="00FD26A3" w:rsidP="00FD26A3">
      <w:pPr>
        <w:ind w:left="340"/>
      </w:pPr>
      <w:r>
        <w:t>Αλλά στο παραπάνω χρονικό διάστημα t</w:t>
      </w:r>
      <w:r>
        <w:rPr>
          <w:vertAlign w:val="subscript"/>
        </w:rPr>
        <w:t>1</w:t>
      </w:r>
      <w:r>
        <w:t>, η σφαίρα διένυσε απόσταση h, οπότε:</w:t>
      </w:r>
    </w:p>
    <w:p w:rsidR="00FD26A3" w:rsidRDefault="00FD26A3" w:rsidP="00FD26A3">
      <w:pPr>
        <w:ind w:left="340"/>
        <w:jc w:val="center"/>
      </w:pPr>
      <w:r w:rsidRPr="00FD26A3">
        <w:rPr>
          <w:position w:val="-34"/>
        </w:rPr>
        <w:object w:dxaOrig="6160" w:dyaOrig="859">
          <v:shape id="_x0000_i1033" type="#_x0000_t75" style="width:308.1pt;height:42.85pt" o:ole="">
            <v:imagedata r:id="rId24" o:title=""/>
          </v:shape>
          <o:OLEObject Type="Embed" ProgID="Equation.DSMT4" ShapeID="_x0000_i1033" DrawAspect="Content" ObjectID="_1683923757" r:id="rId25"/>
        </w:object>
      </w:r>
    </w:p>
    <w:p w:rsidR="00FD26A3" w:rsidRDefault="00FD26A3" w:rsidP="00FD26A3">
      <w:pPr>
        <w:ind w:left="340"/>
      </w:pPr>
      <w:r>
        <w:t>Σωστό το β).</w:t>
      </w:r>
    </w:p>
    <w:p w:rsidR="00C75CA3" w:rsidRPr="00FD26A3" w:rsidRDefault="00C75CA3" w:rsidP="00C75CA3">
      <w:pPr>
        <w:ind w:left="340"/>
        <w:jc w:val="right"/>
      </w:pPr>
      <w:r w:rsidRPr="00735C9B">
        <w:rPr>
          <w:b/>
          <w:i/>
          <w:color w:val="0070C0"/>
          <w:sz w:val="24"/>
          <w:szCs w:val="24"/>
        </w:rPr>
        <w:t>dmargaris@gmail.com</w:t>
      </w:r>
    </w:p>
    <w:sectPr w:rsidR="00C75CA3" w:rsidRPr="00FD26A3" w:rsidSect="00465D8E">
      <w:headerReference w:type="default" r:id="rId26"/>
      <w:footerReference w:type="default" r:id="rId27"/>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2F2" w:rsidRDefault="003C52F2">
      <w:pPr>
        <w:spacing w:after="0" w:line="240" w:lineRule="auto"/>
      </w:pPr>
      <w:r>
        <w:separator/>
      </w:r>
    </w:p>
  </w:endnote>
  <w:endnote w:type="continuationSeparator" w:id="0">
    <w:p w:rsidR="003C52F2" w:rsidRDefault="003C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2F2" w:rsidRDefault="003C52F2">
      <w:pPr>
        <w:spacing w:after="0" w:line="240" w:lineRule="auto"/>
      </w:pPr>
      <w:r>
        <w:separator/>
      </w:r>
    </w:p>
  </w:footnote>
  <w:footnote w:type="continuationSeparator" w:id="0">
    <w:p w:rsidR="003C52F2" w:rsidRDefault="003C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2D44B0">
      <w:rPr>
        <w:i/>
      </w:rPr>
      <w:t>Επανάληψη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5C85C46"/>
    <w:multiLevelType w:val="hybridMultilevel"/>
    <w:tmpl w:val="75908E48"/>
    <w:lvl w:ilvl="0" w:tplc="57E69CC4">
      <w:start w:val="1"/>
      <w:numFmt w:val="lowerLetter"/>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2"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0"/>
  </w:num>
  <w:num w:numId="8">
    <w:abstractNumId w:val="0"/>
  </w:num>
  <w:num w:numId="9">
    <w:abstractNumId w:val="2"/>
  </w:num>
  <w:num w:numId="10">
    <w:abstractNumId w:val="2"/>
  </w:num>
  <w:num w:numId="11">
    <w:abstractNumId w:val="2"/>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DF"/>
    <w:rsid w:val="000404DA"/>
    <w:rsid w:val="000701A8"/>
    <w:rsid w:val="000716E4"/>
    <w:rsid w:val="000A5A2D"/>
    <w:rsid w:val="000C34FC"/>
    <w:rsid w:val="001764F7"/>
    <w:rsid w:val="001865ED"/>
    <w:rsid w:val="00240D71"/>
    <w:rsid w:val="002A03D8"/>
    <w:rsid w:val="002D1534"/>
    <w:rsid w:val="002D44B0"/>
    <w:rsid w:val="002D5901"/>
    <w:rsid w:val="002E1895"/>
    <w:rsid w:val="0032315E"/>
    <w:rsid w:val="00334BD8"/>
    <w:rsid w:val="00342B66"/>
    <w:rsid w:val="003642C5"/>
    <w:rsid w:val="003B4900"/>
    <w:rsid w:val="003C52F2"/>
    <w:rsid w:val="003D2058"/>
    <w:rsid w:val="003D5E6E"/>
    <w:rsid w:val="0041752B"/>
    <w:rsid w:val="0044454D"/>
    <w:rsid w:val="00465D8E"/>
    <w:rsid w:val="0047297F"/>
    <w:rsid w:val="00497E08"/>
    <w:rsid w:val="004E0D04"/>
    <w:rsid w:val="004F7518"/>
    <w:rsid w:val="00525366"/>
    <w:rsid w:val="005428E3"/>
    <w:rsid w:val="0056289F"/>
    <w:rsid w:val="00572886"/>
    <w:rsid w:val="005C059F"/>
    <w:rsid w:val="00667E23"/>
    <w:rsid w:val="00717932"/>
    <w:rsid w:val="007871E3"/>
    <w:rsid w:val="0079679D"/>
    <w:rsid w:val="007C4F6D"/>
    <w:rsid w:val="007E115B"/>
    <w:rsid w:val="007F0348"/>
    <w:rsid w:val="0081576D"/>
    <w:rsid w:val="008945AD"/>
    <w:rsid w:val="00986BD6"/>
    <w:rsid w:val="009A1C4D"/>
    <w:rsid w:val="009D2E0B"/>
    <w:rsid w:val="00A510D5"/>
    <w:rsid w:val="00A953F9"/>
    <w:rsid w:val="00AC5AC3"/>
    <w:rsid w:val="00B01492"/>
    <w:rsid w:val="00B01F92"/>
    <w:rsid w:val="00B11C3D"/>
    <w:rsid w:val="00B820C2"/>
    <w:rsid w:val="00C14977"/>
    <w:rsid w:val="00C320F8"/>
    <w:rsid w:val="00C75CA3"/>
    <w:rsid w:val="00CA79DF"/>
    <w:rsid w:val="00CA7A43"/>
    <w:rsid w:val="00D045EF"/>
    <w:rsid w:val="00D82210"/>
    <w:rsid w:val="00DE49E1"/>
    <w:rsid w:val="00EA64C4"/>
    <w:rsid w:val="00EB2362"/>
    <w:rsid w:val="00EB6640"/>
    <w:rsid w:val="00EC3F61"/>
    <w:rsid w:val="00EC647B"/>
    <w:rsid w:val="00EE391A"/>
    <w:rsid w:val="00EE7957"/>
    <w:rsid w:val="00F62A34"/>
    <w:rsid w:val="00F6515A"/>
    <w:rsid w:val="00F80FD8"/>
    <w:rsid w:val="00FB4D66"/>
    <w:rsid w:val="00FD26A3"/>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542C89"/>
  <w15:chartTrackingRefBased/>
  <w15:docId w15:val="{23C25F59-CEFF-467E-A289-26BF8C1D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character" w:styleId="a7">
    <w:name w:val="Strong"/>
    <w:basedOn w:val="a1"/>
    <w:uiPriority w:val="22"/>
    <w:qFormat/>
    <w:rsid w:val="002D44B0"/>
    <w:rPr>
      <w:b/>
      <w:bCs/>
    </w:rPr>
  </w:style>
  <w:style w:type="paragraph" w:styleId="a8">
    <w:name w:val="List Paragraph"/>
    <w:basedOn w:val="a0"/>
    <w:uiPriority w:val="34"/>
    <w:qFormat/>
    <w:rsid w:val="002D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C973-19F9-470D-B3BB-365F9A65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1715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3</cp:revision>
  <cp:lastPrinted>2020-05-22T05:38:00Z</cp:lastPrinted>
  <dcterms:created xsi:type="dcterms:W3CDTF">2021-05-30T20:48:00Z</dcterms:created>
  <dcterms:modified xsi:type="dcterms:W3CDTF">2021-05-30T20:49:00Z</dcterms:modified>
</cp:coreProperties>
</file>