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5BB" w14:textId="77777777" w:rsidR="006A74A5" w:rsidRPr="006A74A5" w:rsidRDefault="006A74A5" w:rsidP="006A74A5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</w:pPr>
      <w:r w:rsidRPr="006A74A5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>Στόχοι για τη βιώσιμη ανάπτυξη</w:t>
      </w:r>
    </w:p>
    <w:p w14:paraId="4BF8A437" w14:textId="77777777" w:rsidR="006A74A5" w:rsidRPr="006A74A5" w:rsidRDefault="006A74A5" w:rsidP="006A74A5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eastAsia="el-GR"/>
        </w:rPr>
      </w:pPr>
      <w:r w:rsidRPr="006A74A5">
        <w:rPr>
          <w:rFonts w:ascii="Arial" w:eastAsia="Times New Roman" w:hAnsi="Arial" w:cs="Arial"/>
          <w:color w:val="202122"/>
          <w:sz w:val="19"/>
          <w:szCs w:val="19"/>
          <w:lang w:eastAsia="el-GR"/>
        </w:rPr>
        <w:t xml:space="preserve">Από τη </w:t>
      </w:r>
      <w:proofErr w:type="spellStart"/>
      <w:r w:rsidRPr="006A74A5">
        <w:rPr>
          <w:rFonts w:ascii="Arial" w:eastAsia="Times New Roman" w:hAnsi="Arial" w:cs="Arial"/>
          <w:color w:val="202122"/>
          <w:sz w:val="19"/>
          <w:szCs w:val="19"/>
          <w:lang w:eastAsia="el-GR"/>
        </w:rPr>
        <w:t>Βικιπαίδεια</w:t>
      </w:r>
      <w:proofErr w:type="spellEnd"/>
      <w:r w:rsidRPr="006A74A5">
        <w:rPr>
          <w:rFonts w:ascii="Arial" w:eastAsia="Times New Roman" w:hAnsi="Arial" w:cs="Arial"/>
          <w:color w:val="202122"/>
          <w:sz w:val="19"/>
          <w:szCs w:val="19"/>
          <w:lang w:eastAsia="el-GR"/>
        </w:rPr>
        <w:t>, την ελεύθερη εγκυκλοπαίδεια</w:t>
      </w:r>
    </w:p>
    <w:p w14:paraId="24D77C9F" w14:textId="77777777" w:rsidR="006A74A5" w:rsidRPr="006A74A5" w:rsidRDefault="006A74A5" w:rsidP="006A74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el-GR"/>
        </w:rPr>
      </w:pPr>
      <w:r w:rsidRPr="006A74A5">
        <w:rPr>
          <w:rFonts w:ascii="Arial" w:eastAsia="Times New Roman" w:hAnsi="Arial" w:cs="Arial"/>
          <w:noProof/>
          <w:color w:val="0645AD"/>
          <w:sz w:val="20"/>
          <w:szCs w:val="20"/>
          <w:lang w:eastAsia="el-GR"/>
        </w:rPr>
        <w:drawing>
          <wp:inline distT="0" distB="0" distL="0" distR="0" wp14:anchorId="17ED84B8" wp14:editId="0E093826">
            <wp:extent cx="4191000" cy="2095500"/>
            <wp:effectExtent l="0" t="0" r="0" b="0"/>
            <wp:docPr id="2" name="Εικόνα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9F5F" w14:textId="61A195A7" w:rsidR="006A74A5" w:rsidRDefault="006A74A5" w:rsidP="006A74A5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el-GR"/>
        </w:rPr>
      </w:pPr>
      <w:r w:rsidRPr="006A74A5">
        <w:rPr>
          <w:rFonts w:ascii="Arial" w:eastAsia="Times New Roman" w:hAnsi="Arial" w:cs="Arial"/>
          <w:color w:val="202122"/>
          <w:sz w:val="19"/>
          <w:szCs w:val="19"/>
          <w:lang w:eastAsia="el-GR"/>
        </w:rPr>
        <w:t>Παγκόσμιος χάρτης που απεικονίζει τις χώρες που βρίσκονται πλησιέστερα στους στόχους του SDG (σκούρο μπλε) και εκείνες που αντιμετωπίζουν τις μεγαλύτερες προκλήσεις για να τους πλησιάσουν. (γαλάζιο χρώμα</w:t>
      </w:r>
      <w:r>
        <w:rPr>
          <w:rFonts w:ascii="Arial" w:eastAsia="Times New Roman" w:hAnsi="Arial" w:cs="Arial"/>
          <w:color w:val="202122"/>
          <w:sz w:val="19"/>
          <w:szCs w:val="19"/>
          <w:lang w:eastAsia="el-GR"/>
        </w:rPr>
        <w:t>).</w:t>
      </w:r>
    </w:p>
    <w:p w14:paraId="0EF722DA" w14:textId="77777777" w:rsidR="00930906" w:rsidRPr="006A74A5" w:rsidRDefault="00930906" w:rsidP="006A74A5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el-GR"/>
        </w:rPr>
      </w:pPr>
    </w:p>
    <w:p w14:paraId="6CF307E1" w14:textId="56D811A8" w:rsidR="006A74A5" w:rsidRPr="00C71182" w:rsidRDefault="006A74A5" w:rsidP="006A74A5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Οι </w:t>
      </w:r>
      <w:r w:rsidRPr="00C71182"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  <w:t>στόχοι για τη </w:t>
      </w:r>
      <w:hyperlink r:id="rId7" w:tooltip="Βιώσιμη Ανάπτυξη" w:history="1">
        <w:r w:rsidRPr="00C71182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el-GR"/>
          </w:rPr>
          <w:t>βιώσιμη ανάπτυξη</w:t>
        </w:r>
      </w:hyperlink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(</w:t>
      </w:r>
      <w:r w:rsidRPr="00C71182"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  <w:t>ΣΒΑ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, αγγλικά: SDG</w:t>
      </w:r>
      <w:r w:rsidR="00930906" w:rsidRPr="00C71182">
        <w:rPr>
          <w:rFonts w:ascii="Arial" w:eastAsia="Times New Roman" w:hAnsi="Arial" w:cs="Arial"/>
          <w:color w:val="202122"/>
          <w:sz w:val="24"/>
          <w:szCs w:val="24"/>
          <w:lang w:val="en-US" w:eastAsia="el-GR"/>
        </w:rPr>
        <w:t>S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) είναι μία δέσμη στόχων που αφορά τη μελλοντική </w:t>
      </w:r>
      <w:hyperlink r:id="rId8" w:tooltip="Διεθνής ανάπτυξη (δεν έχει γραφτεί ακόμα)" w:history="1">
        <w:r w:rsidRPr="00C71182">
          <w:rPr>
            <w:rFonts w:ascii="Arial" w:eastAsia="Times New Roman" w:hAnsi="Arial" w:cs="Arial"/>
            <w:color w:val="BA0000"/>
            <w:sz w:val="24"/>
            <w:szCs w:val="24"/>
            <w:u w:val="single"/>
            <w:lang w:eastAsia="el-GR"/>
          </w:rPr>
          <w:t>διεθνή ανάπτυξη</w:t>
        </w:r>
      </w:hyperlink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. Υιοθετήθηκαν στις 25 Σεπτεμβρίου 2015 κατά τη 70</w:t>
      </w:r>
      <w:r w:rsidRPr="00C71182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el-GR"/>
        </w:rPr>
        <w:t>η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Γενική Συνέλευση των </w:t>
      </w:r>
      <w:r w:rsidRPr="00C71182"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  <w:t>Ηνωμένων Εθνών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. Αποτελούν μία συλλογική προσπάθεια για ένα</w:t>
      </w:r>
      <w:r w:rsid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ν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 xml:space="preserve"> κόσμο δικαιότερο, πιο ειρηνικό και ευημερούντα, και έναν υγιή πλανήτη. Θεωρείται ως μια πρόσκληση για αλληλεγγύη μεταξύ των γενεών και σπουδαίο καθήκον, καθώς είναι μία επένδυση στην ευημερία των νέων. </w:t>
      </w:r>
    </w:p>
    <w:p w14:paraId="4282330E" w14:textId="3A00D059" w:rsidR="006A74A5" w:rsidRPr="00C71182" w:rsidRDefault="006A74A5" w:rsidP="006A74A5">
      <w:pPr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Θεσπίστηκαν από τον </w:t>
      </w:r>
      <w:hyperlink r:id="rId9" w:tooltip="Οργανισμός Ηνωμένων Εθνών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Οργανισμό Ηνωμένων Εθνών</w:t>
        </w:r>
      </w:hyperlink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και προβλήθηκαν ως οι παγκόσμιοι στόχοι για τη βιώσιμη ανάπτυξη. Αντικατέστησαν τους </w:t>
      </w:r>
      <w:hyperlink r:id="rId10" w:tooltip="Στόχοι Ανάπτυξης Χιλιετίας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στόχους ανάπτυξης για τη χιλιετία</w:t>
        </w:r>
      </w:hyperlink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, των οποίων το χρονοδιάγραμμα επίτευξης εξέπνευσε στο τέλος του 2015. Οι ΣΒΑ θα υλοποιηθούν από το 2015 έως το 2030. Η δέσμη αποτελείται από 17 στόχους και 169 συνδεόμενους σκοπούς με αυτούς τους στόχους. Η Ατζέντα 2030 προωθεί την ενσωμάτωση και των </w:t>
      </w:r>
      <w:r w:rsidRPr="00C71182"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  <w:t>τριών διαστάσεων της βιώσιμης ανάπτυξης</w:t>
      </w: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– </w:t>
      </w:r>
      <w:r w:rsidRPr="00C71182">
        <w:rPr>
          <w:rFonts w:ascii="Arial" w:eastAsia="Times New Roman" w:hAnsi="Arial" w:cs="Arial"/>
          <w:b/>
          <w:bCs/>
          <w:color w:val="202122"/>
          <w:sz w:val="24"/>
          <w:szCs w:val="24"/>
          <w:lang w:eastAsia="el-GR"/>
        </w:rPr>
        <w:t>κοινωνική, περιβαλλοντική και οικονομική.</w:t>
      </w:r>
    </w:p>
    <w:p w14:paraId="5F85684B" w14:textId="77777777" w:rsidR="006A74A5" w:rsidRPr="00C71182" w:rsidRDefault="006A74A5" w:rsidP="006A74A5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</w:p>
    <w:p w14:paraId="349F6648" w14:textId="7BC80A71" w:rsidR="006A74A5" w:rsidRPr="00C71182" w:rsidRDefault="006A74A5" w:rsidP="006A74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Τον Αύγουστο του 2015, 193 χώρες συμφώνησαν στην επίτευξη των ακόλουθων 17 στόχων:</w:t>
      </w:r>
    </w:p>
    <w:p w14:paraId="0503DA8C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Μηδενική </w:t>
      </w:r>
      <w:hyperlink r:id="rId11" w:tooltip="Φτώχεια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φτώχεια</w:t>
        </w:r>
      </w:hyperlink>
    </w:p>
    <w:p w14:paraId="7FE3E7F9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Μηδενική </w:t>
      </w:r>
      <w:hyperlink r:id="rId12" w:tooltip="Πείνα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πείνα</w:t>
        </w:r>
      </w:hyperlink>
    </w:p>
    <w:p w14:paraId="654747B9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Καλή </w:t>
      </w:r>
      <w:hyperlink r:id="rId13" w:tooltip="Υγεία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υγεία</w:t>
        </w:r>
      </w:hyperlink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και ευημερία</w:t>
      </w:r>
    </w:p>
    <w:p w14:paraId="7A975F3E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Ποιοτική </w:t>
      </w:r>
      <w:hyperlink r:id="rId14" w:tooltip="Εκπαίδευση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εκπαίδευση</w:t>
        </w:r>
      </w:hyperlink>
    </w:p>
    <w:p w14:paraId="1C2DC1F7" w14:textId="77777777" w:rsidR="006A74A5" w:rsidRPr="00C71182" w:rsidRDefault="00C71182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hyperlink r:id="rId15" w:tooltip="Ισότητα των φύλων" w:history="1">
        <w:r w:rsidR="006A74A5"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Ισότητα των φύλων</w:t>
        </w:r>
      </w:hyperlink>
    </w:p>
    <w:p w14:paraId="2276DEB3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Καθαρό νερό και </w:t>
      </w:r>
      <w:hyperlink r:id="rId16" w:tooltip="Αποχέτευση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αποχέτευση</w:t>
        </w:r>
      </w:hyperlink>
    </w:p>
    <w:p w14:paraId="454A34D2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Φτηνή και καθαρή </w:t>
      </w:r>
      <w:hyperlink r:id="rId17" w:tooltip="Ενέργεια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ενέργεια</w:t>
        </w:r>
      </w:hyperlink>
    </w:p>
    <w:p w14:paraId="4AD9342E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Αξιοπρεπής εργασία και </w:t>
      </w:r>
      <w:hyperlink r:id="rId18" w:tooltip="Οικονομική ανάπτυξη" w:history="1">
        <w:r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οικονομική ανάπτυξη</w:t>
        </w:r>
      </w:hyperlink>
    </w:p>
    <w:p w14:paraId="09B3A507" w14:textId="77777777" w:rsidR="006A74A5" w:rsidRPr="00C71182" w:rsidRDefault="00C71182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hyperlink r:id="rId19" w:tooltip="Βιομηχανία" w:history="1">
        <w:r w:rsidR="006A74A5"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Βιομηχανία</w:t>
        </w:r>
      </w:hyperlink>
      <w:r w:rsidR="006A74A5"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, καινοτομία και υποδομές</w:t>
      </w:r>
    </w:p>
    <w:p w14:paraId="4BCEA8A0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Λιγότερες ανισότητες</w:t>
      </w:r>
    </w:p>
    <w:p w14:paraId="5227ECF9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Βιώσιμες πόλεις και κοινότητες</w:t>
      </w:r>
    </w:p>
    <w:p w14:paraId="60BAE70B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Υπεύθυνη κατανάλωση και παραγωγή</w:t>
      </w:r>
    </w:p>
    <w:p w14:paraId="7D3E81FC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Δράση για το κλίμα</w:t>
      </w:r>
    </w:p>
    <w:p w14:paraId="620D9D73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Ζωή στο νερό</w:t>
      </w:r>
    </w:p>
    <w:p w14:paraId="3F5E3D30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Ζωή στη στεριά</w:t>
      </w:r>
    </w:p>
    <w:p w14:paraId="1D5E304F" w14:textId="77777777" w:rsidR="006A74A5" w:rsidRPr="00C71182" w:rsidRDefault="00C71182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hyperlink r:id="rId20" w:tooltip="Ειρήνη" w:history="1">
        <w:r w:rsidR="006A74A5"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Ειρήνη</w:t>
        </w:r>
      </w:hyperlink>
      <w:r w:rsidR="006A74A5"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, </w:t>
      </w:r>
      <w:hyperlink r:id="rId21" w:tooltip="Δικαιοσύνη" w:history="1">
        <w:r w:rsidR="006A74A5" w:rsidRPr="00C71182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el-GR"/>
          </w:rPr>
          <w:t>δικαιοσύνη</w:t>
        </w:r>
      </w:hyperlink>
      <w:r w:rsidR="006A74A5"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 και ισχυροί θεσμοί</w:t>
      </w:r>
    </w:p>
    <w:p w14:paraId="41700052" w14:textId="77777777" w:rsidR="006A74A5" w:rsidRPr="00C71182" w:rsidRDefault="006A74A5" w:rsidP="006A74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color w:val="202122"/>
          <w:sz w:val="24"/>
          <w:szCs w:val="24"/>
          <w:lang w:eastAsia="el-GR"/>
        </w:rPr>
        <w:t>Συνεργασία για τους στόχους</w:t>
      </w:r>
    </w:p>
    <w:p w14:paraId="44459513" w14:textId="77777777" w:rsidR="006A74A5" w:rsidRPr="00C71182" w:rsidRDefault="006A74A5" w:rsidP="006A74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</w:p>
    <w:p w14:paraId="6223AFAC" w14:textId="762B533F" w:rsidR="006A74A5" w:rsidRPr="00C71182" w:rsidRDefault="006A74A5" w:rsidP="006A74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</w:p>
    <w:p w14:paraId="2BFEBE7B" w14:textId="77777777" w:rsidR="006A74A5" w:rsidRPr="00C71182" w:rsidRDefault="006A74A5" w:rsidP="006A74A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el-GR"/>
        </w:rPr>
      </w:pPr>
      <w:r w:rsidRPr="00C71182">
        <w:rPr>
          <w:rFonts w:ascii="Arial" w:eastAsia="Times New Roman" w:hAnsi="Arial" w:cs="Arial"/>
          <w:noProof/>
          <w:color w:val="0645AD"/>
          <w:sz w:val="24"/>
          <w:szCs w:val="24"/>
          <w:lang w:eastAsia="el-GR"/>
        </w:rPr>
        <w:drawing>
          <wp:inline distT="0" distB="0" distL="0" distR="0" wp14:anchorId="1B6B836F" wp14:editId="597DB655">
            <wp:extent cx="4829175" cy="4648200"/>
            <wp:effectExtent l="0" t="0" r="9525" b="0"/>
            <wp:docPr id="6" name="Εικόνα 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E374B" w14:textId="77777777" w:rsidR="006A74A5" w:rsidRPr="006A74A5" w:rsidRDefault="006A74A5" w:rsidP="00C71182">
      <w:pPr>
        <w:shd w:val="clear" w:color="auto" w:fill="F8F9FA"/>
        <w:spacing w:line="336" w:lineRule="atLeast"/>
        <w:jc w:val="both"/>
        <w:rPr>
          <w:rFonts w:ascii="Arial" w:eastAsia="Times New Roman" w:hAnsi="Arial" w:cs="Arial"/>
          <w:color w:val="202122"/>
          <w:sz w:val="19"/>
          <w:szCs w:val="19"/>
          <w:lang w:eastAsia="el-GR"/>
        </w:rPr>
      </w:pPr>
      <w:r w:rsidRPr="006A74A5">
        <w:rPr>
          <w:rFonts w:ascii="Arial" w:eastAsia="Times New Roman" w:hAnsi="Arial" w:cs="Arial"/>
          <w:color w:val="202122"/>
          <w:sz w:val="19"/>
          <w:szCs w:val="19"/>
          <w:lang w:eastAsia="el-GR"/>
        </w:rPr>
        <w:t>Αφίσα 17 Παγκόσμιων Στόχων</w:t>
      </w:r>
    </w:p>
    <w:sectPr w:rsidR="006A74A5" w:rsidRPr="006A7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F29"/>
    <w:multiLevelType w:val="multilevel"/>
    <w:tmpl w:val="7592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936A1"/>
    <w:multiLevelType w:val="multilevel"/>
    <w:tmpl w:val="02E4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A5"/>
    <w:rsid w:val="006A74A5"/>
    <w:rsid w:val="00930906"/>
    <w:rsid w:val="00C57350"/>
    <w:rsid w:val="00C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32B"/>
  <w15:chartTrackingRefBased/>
  <w15:docId w15:val="{3FA99D22-4376-4461-8F6C-02F9445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5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0595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3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/index.php?title=%CE%94%CE%B9%CE%B5%CE%B8%CE%BD%CE%AE%CF%82_%CE%B1%CE%BD%CE%AC%CF%80%CF%84%CF%85%CE%BE%CE%B7&amp;action=edit&amp;redlink=1" TargetMode="External"/><Relationship Id="rId13" Type="http://schemas.openxmlformats.org/officeDocument/2006/relationships/hyperlink" Target="https://el.wikipedia.org/wiki/%CE%A5%CE%B3%CE%B5%CE%AF%CE%B1" TargetMode="External"/><Relationship Id="rId18" Type="http://schemas.openxmlformats.org/officeDocument/2006/relationships/hyperlink" Target="https://el.wikipedia.org/wiki/%CE%9F%CE%B9%CE%BA%CE%BF%CE%BD%CE%BF%CE%BC%CE%B9%CE%BA%CE%AE_%CE%B1%CE%BD%CE%AC%CF%80%CF%84%CF%85%CE%BE%CE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94%CE%B9%CE%BA%CE%B1%CE%B9%CE%BF%CF%83%CF%8D%CE%BD%CE%B7" TargetMode="External"/><Relationship Id="rId7" Type="http://schemas.openxmlformats.org/officeDocument/2006/relationships/hyperlink" Target="https://el.wikipedia.org/wiki/%CE%92%CE%B9%CF%8E%CF%83%CE%B9%CE%BC%CE%B7_%CE%91%CE%BD%CE%AC%CF%80%CF%84%CF%85%CE%BE%CE%B7" TargetMode="External"/><Relationship Id="rId12" Type="http://schemas.openxmlformats.org/officeDocument/2006/relationships/hyperlink" Target="https://el.wikipedia.org/wiki/%CE%A0%CE%B5%CE%AF%CE%BD%CE%B1" TargetMode="External"/><Relationship Id="rId17" Type="http://schemas.openxmlformats.org/officeDocument/2006/relationships/hyperlink" Target="https://el.wikipedia.org/wiki/%CE%95%CE%BD%CE%AD%CF%81%CE%B3%CE%B5%CE%B9%CE%B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1%CF%80%CE%BF%CF%87%CE%AD%CF%84%CE%B5%CF%85%CF%83%CE%B7" TargetMode="External"/><Relationship Id="rId20" Type="http://schemas.openxmlformats.org/officeDocument/2006/relationships/hyperlink" Target="https://el.wikipedia.org/wiki/%CE%95%CE%B9%CF%81%CE%AE%CE%BD%CE%B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l.wikipedia.org/wiki/%CE%A6%CF%84%CF%8E%CF%87%CE%B5%CE%B9%CE%B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mmons.wikimedia.org/wiki/File:Map_Sustainable_Development_Goals_2019.jpg" TargetMode="External"/><Relationship Id="rId15" Type="http://schemas.openxmlformats.org/officeDocument/2006/relationships/hyperlink" Target="https://el.wikipedia.org/wiki/%CE%99%CF%83%CF%8C%CF%84%CE%B7%CF%84%CE%B1_%CF%84%CF%89%CE%BD_%CF%86%CF%8D%CE%BB%CF%89%CE%BD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l.wikipedia.org/wiki/%CE%A3%CF%84%CF%8C%CF%87%CE%BF%CE%B9_%CE%91%CE%BD%CE%AC%CF%80%CF%84%CF%85%CE%BE%CE%B7%CF%82_%CE%A7%CE%B9%CE%BB%CE%B9%CE%B5%CF%84%CE%AF%CE%B1%CF%82" TargetMode="External"/><Relationship Id="rId19" Type="http://schemas.openxmlformats.org/officeDocument/2006/relationships/hyperlink" Target="https://el.wikipedia.org/wiki/%CE%92%CE%B9%CE%BF%CE%BC%CE%B7%CF%87%CE%B1%CE%BD%CE%AF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F%CF%81%CE%B3%CE%B1%CE%BD%CE%B9%CF%83%CE%BC%CF%8C%CF%82_%CE%97%CE%BD%CF%89%CE%BC%CE%AD%CE%BD%CF%89%CE%BD_%CE%95%CE%B8%CE%BD%CF%8E%CE%BD" TargetMode="External"/><Relationship Id="rId14" Type="http://schemas.openxmlformats.org/officeDocument/2006/relationships/hyperlink" Target="https://el.wikipedia.org/wiki/%CE%95%CE%BA%CF%80%CE%B1%CE%AF%CE%B4%CE%B5%CF%85%CF%83%CE%B7" TargetMode="External"/><Relationship Id="rId22" Type="http://schemas.openxmlformats.org/officeDocument/2006/relationships/hyperlink" Target="https://el.wikipedia.org/wiki/%CE%91%CF%81%CF%87%CE%B5%CE%AF%CE%BF:17gg-in-greek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612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Lamprinidis George</dc:creator>
  <cp:keywords/>
  <dc:description/>
  <cp:lastModifiedBy>Lamprinidis George</cp:lastModifiedBy>
  <cp:revision>5</cp:revision>
  <dcterms:created xsi:type="dcterms:W3CDTF">2022-02-22T03:51:00Z</dcterms:created>
  <dcterms:modified xsi:type="dcterms:W3CDTF">2022-04-03T10:02:00Z</dcterms:modified>
</cp:coreProperties>
</file>